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20"/>
        <w:ind w:firstLine="0" w:left="-709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«Формирование основ безопасности жизнедеятельности у детей дошкольного возраста»</w:t>
      </w: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highlight w:val="white"/>
        </w:rPr>
        <w:t> </w:t>
      </w:r>
    </w:p>
    <w:p w14:paraId="02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Дети — наиболее незащищённая часть населения. Познавая окружающий мир, дошкольники зачастую попадают в ситуации, угрожающие их жизни и здоровью; при этом не умеют принимать правильное решение в экстремальных ситуациях, не знают правила безопасного поведения, наконец может просто растеряться. Как сберечь здоровье детей? Как помочь разобраться в многообразии жизненных ситуаций? Как научить помогать друг другу?</w:t>
      </w:r>
    </w:p>
    <w:p w14:paraId="03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Формирование основ безопасности жизнедеятельности детей в условиях дошкольного образовательного учреждения и дома является актуальной и значимой проблемой, поскольку обусловлено объективной необходимостью информирования детей о общепринятых нормах и правилах безопасного поведения, приобретения ими опыта безопасного поведения в быту, на природе, на дороге и неизбежно связано с целым рядом запретов: «не трогай», «отойди», «нельзя».</w:t>
      </w:r>
    </w:p>
    <w:p w14:paraId="04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Безопасность — это не просто сумма усвоенных знаний, а умение правильно вести себя в различных ситуациях.</w:t>
      </w:r>
    </w:p>
    <w:p w14:paraId="05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Главная цель по воспитанию безопасного поведения у детей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— дать каждому ребенку основные понятия опасных для жизни ситуаций и особенностей поведения в них; развивать у дошкольников самостоятельность и ответственность.</w:t>
      </w:r>
    </w:p>
    <w:p w14:paraId="06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Начинать обучение детей правилам безопасного поведения необходимо с дошкольного возраста.</w:t>
      </w:r>
    </w:p>
    <w:p w14:paraId="07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Формирование основ безопасности жизнедеятельности включают следующие разделы:</w:t>
      </w:r>
    </w:p>
    <w:p w14:paraId="08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Безопасное поведение в природе: </w:t>
      </w:r>
    </w:p>
    <w:p w14:paraId="09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младшей группе: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0A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средней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Продолжать знакомить с многообразием животного и растительного мира, явлениями неживой природы. Формировать понятие «съедобное», «несъедобное», «лекарственные растения».</w:t>
      </w:r>
    </w:p>
    <w:p w14:paraId="0B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старшей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Формировать основы экологической культуры, и безопасного поведения в природе, что все в природе взаимосвязано, человек не должен нарушать эту взаимосвязь. Знакомить с явлениями неживой природы (гроза, гром, молния, радуга, ураган). Знакомить детей с правилами поведения в этих условиях. Правилами оказания первой помощи при ушибах, укусах насекомых.</w:t>
      </w:r>
    </w:p>
    <w:p w14:paraId="0C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подготовительной группе: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Знакомить с Красной книгой, с отдельными представителями животного и растительного мира занесёнными в неё.</w:t>
      </w:r>
    </w:p>
    <w:p w14:paraId="0D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Безопасность на дорогах:</w:t>
      </w:r>
    </w:p>
    <w:p w14:paraId="0E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Во второй младшей группе: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Расширять ориентировку в окружающем пространстве, знакомить детей с правилами дорожного движения. Учить различать проезжую часть дороги, тротуар, понимать значения сигналов светофора. Формировать первичные представления о безопасном поведении на дорогах — переходить улицу в положенном месте; не переходить дорогу одному, крепко держаться за руку взрослого; не перебегать дорогу, не играть на проезжей части; быть внимательным пешеходом.</w:t>
      </w:r>
    </w:p>
    <w:p w14:paraId="0F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средней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Уточнить знания детей о работе полицейского. Знакомить с различными видами городского транспорта, особенностями их внешнего вида и назначения: «Скорая помощь», «Пожарная», «МЧС», «Полиция», трамвай, троллейбус и др. Знакомить со знаками дорожного движения: «Пешеходный переход», «Остановка общественного транспорта» и др. Знакомить с работой водителя.</w:t>
      </w:r>
    </w:p>
    <w:p w14:paraId="10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старшей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Знакомить с названиями ближайших к детскому саду улиц и улиц, на которых живут дети. Продолжать знакомить с ПДД. Правилами передвижения пешеходов и велосипедистов. Знакомить с дорожными знаками: «Пункт первой медицинской помощи», «Пункт питания», «Место стоянки», «Въезд запрещён», «Дорожные работы», «Велосипедная дорожка» и др. Наземный, воздушный, водный, специальный транспорт — разнообразие, назначение, использование. Знакомить с понятиями «площадь», «бульвар», «проспект».</w:t>
      </w:r>
    </w:p>
    <w:p w14:paraId="11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подготовительной группе: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Систематизировать знания детей об устройстве улицы, о дорожном движении. Продолжать знакомить с дорожными знаками- предупреждающими, запрещающими, информационно-указательными. Соблюдать ПДД. Расширять представления детей о работе ГИБДД. Развивать ориентировку в пределах ближайшей к детскому саду местности. Формировать умение находить безопасный путь из дома в детский сад. Мотивировать и планировать свои действия, отстаивать правильность своих решений.</w:t>
      </w:r>
    </w:p>
    <w:p w14:paraId="12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Безопасность собственной жизнедеятельности:</w:t>
      </w:r>
    </w:p>
    <w:p w14:paraId="13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Во второй младшей группе: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Знакомить с источниками опасности дома: горячая плита, утюг, розетка и др. Формировать навыки безопасного поведения в помещении: осторожно спускаться и подниматься по лестнице, держась за перила; открывать и закрывать двери, держась за дверную ручку; не хлопать дверьми и др. Соблюдать правила в играх с мелкими предметами: не засовывать предметы в ухо, нос; не брать их в рот. Развивать навыки безопасного поведения в играх с песком, водой, снегом. Обращаться за помощью к взрослым.</w:t>
      </w:r>
    </w:p>
    <w:p w14:paraId="14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средней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Знакомить с назначением, работой и правилами пользования бытовыми электроприборами (пылесос, чайник, электрический утюг). Закреплять умение пользоваться столовыми приборами (вилка, нож, ножницы). Знакомить с правилами поведения при встрече с незнакомыми людьми; животными. Рассказывать о причинах возникновения пожара, работе пожарных, правилах поведения при пожаре. Знать свой адрес.</w:t>
      </w:r>
    </w:p>
    <w:p w14:paraId="15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старшей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Закреплять основы безопасной жизнедеятельности человека. Расширять знания об источниках опасности в быту. Знакомить с работой службы спасения – МЧС, назначении номеров -01, — 02, — 03, 112. Называть свое имя, фамилию, возраст, домашний адрес, телефон.</w:t>
      </w:r>
    </w:p>
    <w:p w14:paraId="16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 подготовительной группе: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Учить детей оценивать свои возможности, по преодолению опасности. Формировать у детей навыки поведения в ситуациях «Один дома», «Потерялся», «Заблудился». Умение обращаться за помощью к взрослым.</w:t>
      </w:r>
    </w:p>
    <w:p w14:paraId="17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Организуя  работу по формированию у детей основ безопасности жизнедеятельности, необходимо соблюдать следующие </w:t>
      </w: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принципы организации работы:</w:t>
      </w:r>
    </w:p>
    <w:p w14:paraId="18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полноты. Содержание работы должно быть реализовано по всем разделам. Если какой-либо раздел выпадает из рассмотрения, то дети оказываются не защищёнными от представленных в нём определенных источников опасности.</w:t>
      </w:r>
    </w:p>
    <w:p w14:paraId="19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системности. Работа должна проводиться системно, в течение года при гибком распределении содержания перспективного плана в течение дня. Необходимо иметь в виду, что тематический недельный план не может предвосхищать все спонтанно возникающие ситуации и возникающие вопросы.</w:t>
      </w:r>
    </w:p>
    <w:p w14:paraId="1A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учёта условий городской и сельской местности. Известно, что городские и сельские дошкольники имеют разный опыт взаимодействия с окружающей средой. Т.е. у каждого ребёнка существует свой опыт осознания источников опасности, что определяется условиями проживания и семейным воспитанием.</w:t>
      </w:r>
    </w:p>
    <w:p w14:paraId="1B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возрастной адресности. При работе с детьми разного возраста содержание обучения выстраивается последовательно от простого к сложному.</w:t>
      </w:r>
    </w:p>
    <w:p w14:paraId="1C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интеграции. Работу по воспитанию безопасного поведения ребёнка-дошкольника необходимо проводить во всех видах детской деятельности, часто исподволь, естественно и органично интегрировать в целостный педагогический процесс.</w:t>
      </w:r>
    </w:p>
    <w:p w14:paraId="1D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• Принцип преемственности взаимодействия с ребёнком в условиях дошкольного учреждения и в семье. Педагог и родитель в вопросах безопасности ребёнка должны придерживаться единой концепции, действовать сообща, дополняя друг друга.</w:t>
      </w:r>
    </w:p>
    <w:p w14:paraId="1E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Формы организации 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воспитательного процесса с детьми:</w:t>
      </w:r>
    </w:p>
    <w:p w14:paraId="1F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различные игры: дидактические, подвижные, словесные, сюжетно-ролевые;</w:t>
      </w:r>
    </w:p>
    <w:p w14:paraId="20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ситуации общения; беседы; тренинги; обыгрывание ситуаций (правильного и не правильного поведения);</w:t>
      </w:r>
    </w:p>
    <w:p w14:paraId="21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наблюдения, экскурсии, целевые прогулки;</w:t>
      </w:r>
    </w:p>
    <w:p w14:paraId="22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рассматривание иллюстраций по теме, альбомов; сбор фотоматериалов, просмотр видео фильмов и мультфильмов;</w:t>
      </w:r>
    </w:p>
    <w:p w14:paraId="23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чтение детской художественной литературы; отгадывание загадок, кроссвордов; заучивание стихов по ОБЖ и ПДД;</w:t>
      </w:r>
    </w:p>
    <w:p w14:paraId="24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праздники, развлечения, досуги;</w:t>
      </w:r>
    </w:p>
    <w:p w14:paraId="25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встреча с интересными людьми — сотрудниками ГИБДД, МЧС,</w:t>
      </w:r>
    </w:p>
    <w:p w14:paraId="26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участие в конкурсах разного уровня прямых и дистанционных, как детей, так и педагогов,</w:t>
      </w:r>
    </w:p>
    <w:p w14:paraId="27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работа над проектами.</w:t>
      </w:r>
    </w:p>
    <w:p w14:paraId="28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Далее создаются  условия для ознакомления детей с основами безопасности, включающие в себя воспитательную, безопасную среду и предметную среду:</w:t>
      </w:r>
    </w:p>
    <w:p w14:paraId="29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b w:val="1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Воспитательная среда: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создание атмосферы душевного тепла и эмоционального благополучия,  в которой ребёнок будет чувствовать себя уверенным, устойчивым к стрессам.</w:t>
      </w:r>
    </w:p>
    <w:p w14:paraId="2A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b w:val="1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Безопасная среда: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закреплённые шкафы, стеллажи; отсутствие ядовитых и колючих растений; безопасное расположение растений в группе;</w:t>
      </w:r>
    </w:p>
    <w:p w14:paraId="2B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оборудование помещений, где находятся дети, соблюдая меры противопожарной безопасности;</w:t>
      </w:r>
    </w:p>
    <w:p w14:paraId="2C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14:paraId="2D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мебель, подобранная по росту детей;</w:t>
      </w:r>
    </w:p>
    <w:p w14:paraId="2E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маркировка мебели;</w:t>
      </w:r>
    </w:p>
    <w:p w14:paraId="2F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маркировка постельного белья и полотенец;</w:t>
      </w:r>
    </w:p>
    <w:p w14:paraId="30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правильное освещение.</w:t>
      </w:r>
    </w:p>
    <w:p w14:paraId="31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</w:rPr>
      </w:pPr>
      <w:r>
        <w:rPr>
          <w:rFonts w:ascii="Symbol" w:hAnsi="Symbol"/>
          <w:b w:val="1"/>
          <w:i w:val="0"/>
          <w:caps w:val="0"/>
          <w:color w:val="000000"/>
          <w:highlight w:val="white"/>
        </w:rPr>
        <w:t>·</w:t>
      </w:r>
      <w:r>
        <w:rPr>
          <w:rFonts w:ascii="Times New Roman" w:hAnsi="Times New Roman"/>
          <w:b w:val="1"/>
          <w:i w:val="0"/>
          <w:caps w:val="0"/>
          <w:color w:val="000000"/>
          <w:highlight w:val="white"/>
        </w:rPr>
        <w:t> Предметно – развивающая среда в группе в которую входят:</w:t>
      </w:r>
    </w:p>
    <w:p w14:paraId="32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1. Уголок безопасности,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который содержит материалы: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Плакаты по ОБЖ по темам «Если ты потерялся на улице», «Внимание! Терроризм! », «Пожарная безопасность для дошкольников» и др; альбомы «Лекарственные растения», «Ядовитые растения и грибы», «Профессии», «Валеология, или Здоровый малыш», «Если малыш поранился» и др.</w:t>
      </w:r>
    </w:p>
    <w:p w14:paraId="33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Создание автогородка на участке для использования полученных знаний в игровой деятельности.</w:t>
      </w:r>
    </w:p>
    <w:p w14:paraId="34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2. Игротека,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которая содержит:</w:t>
      </w:r>
    </w:p>
    <w:p w14:paraId="35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дидактические игры «Опасно – не опасно», «Продолжи ряд», «Назови одним словом», «Четвертый – лишний», «Так – не так» и др.;</w:t>
      </w:r>
    </w:p>
    <w:p w14:paraId="36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настольно – печатные игры «Основы безопасности», «Большая прогулка по городу», «Хорошо – плохо», «Валеология», «Дорожные знаки», «Черезвычайные ситуации дома» и др.</w:t>
      </w:r>
    </w:p>
    <w:p w14:paraId="37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highlight w:val="white"/>
        </w:rPr>
        <w:t>3. Библиотека,</w:t>
      </w:r>
      <w:r>
        <w:rPr>
          <w:rFonts w:ascii="Times New Roman" w:hAnsi="Times New Roman"/>
          <w:i w:val="0"/>
          <w:caps w:val="0"/>
          <w:color w:val="000000"/>
          <w:highlight w:val="white"/>
        </w:rPr>
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14:paraId="38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Рекомендуемая художественная литература:</w:t>
      </w:r>
    </w:p>
    <w:p w14:paraId="39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Л. Толстой «Пожар», «Пожарные собаки»;</w:t>
      </w:r>
    </w:p>
    <w:p w14:paraId="3A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В. Житков «Пожар», «В дыму»;</w:t>
      </w:r>
    </w:p>
    <w:p w14:paraId="3B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С. Маршак «Пожар», «Рассказ о неизвестном герое», «Сказка о глупом мышонке»;</w:t>
      </w:r>
    </w:p>
    <w:p w14:paraId="3C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Т. Шорыгина «Зеленые сказки», «Осторожные сказки»;</w:t>
      </w:r>
    </w:p>
    <w:p w14:paraId="3D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К. Зайцева «Уроки Айболита»;</w:t>
      </w:r>
    </w:p>
    <w:p w14:paraId="3E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Сказки «Волк и козлята», «Три поросенка», «Красная Шапочка», «Заюшкина избушка», «Колобок», «Кот, петух и лиса» и др.</w:t>
      </w:r>
    </w:p>
    <w:p w14:paraId="3F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Ю. Соколова «Правила безопасности»;</w:t>
      </w:r>
    </w:p>
    <w:p w14:paraId="40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И. Серяков «Улица, где все спешат», «Ученый дружок»;</w:t>
      </w:r>
    </w:p>
    <w:p w14:paraId="41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Е. Пермяков «Торопливый ножик»;</w:t>
      </w:r>
    </w:p>
    <w:p w14:paraId="42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Потешки «Тили-тили-тили-бом! Загорелся Кошкин дом! », «Огуречик»;</w:t>
      </w:r>
    </w:p>
    <w:p w14:paraId="43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</w:t>
      </w:r>
    </w:p>
    <w:p w14:paraId="44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И. А. Яворская «Дети и дорога»;</w:t>
      </w:r>
    </w:p>
    <w:p w14:paraId="45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И. Лешкевич «Светофор»;</w:t>
      </w:r>
    </w:p>
    <w:p w14:paraId="46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Н. Носов «Автомобиль»;</w:t>
      </w:r>
    </w:p>
    <w:p w14:paraId="47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Г. Юрмин «Любопытный мышонок»;</w:t>
      </w:r>
    </w:p>
    <w:p w14:paraId="48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А. Дорохов «Подземный переход», «Заборчик вдоль тротуара», «Шлагбаум»;</w:t>
      </w:r>
    </w:p>
    <w:p w14:paraId="49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Л. Гальперштейн «Трамвай и его семья»;</w:t>
      </w:r>
    </w:p>
    <w:p w14:paraId="4A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А. Дмоховский «Чудесный островок»;</w:t>
      </w:r>
    </w:p>
    <w:p w14:paraId="4B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В. Семернин «Запрещается – разрешается»;</w:t>
      </w:r>
    </w:p>
    <w:p w14:paraId="4C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highlight w:val="white"/>
        </w:rPr>
        <w:t>— А. Северный «Три чудесных цвета».</w:t>
      </w:r>
    </w:p>
    <w:p w14:paraId="4D000000">
      <w:pPr>
        <w:spacing w:after="0" w:before="0"/>
        <w:ind w:firstLine="425" w:left="-709" w:right="0"/>
        <w:jc w:val="left"/>
        <w:rPr>
          <w:rFonts w:ascii="Times New Roman" w:hAnsi="Times New Roman"/>
          <w:color w:val="000000"/>
          <w:highlight w:val="white"/>
        </w:rPr>
      </w:pPr>
    </w:p>
    <w:p w14:paraId="4E000000">
      <w:pPr>
        <w:spacing w:after="134" w:before="120"/>
        <w:ind w:firstLine="0" w:left="120" w:right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11111"/>
        </w:rPr>
        <w:t> </w:t>
      </w:r>
    </w:p>
    <w:p w14:paraId="4F000000">
      <w:pPr>
        <w:pStyle w:val="Style_1"/>
      </w:pPr>
    </w:p>
    <w:sectPr>
      <w:pgSz w:h="16838" w:orient="portrait" w:w="11906"/>
      <w:pgMar w:bottom="1134" w:left="1304" w:right="737" w:top="28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2025-02-12T06:47:21Z</dcterms:modified>
</cp:coreProperties>
</file>